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tLeast" w:line="500" w:before="0" w:after="0"/>
        <w:ind w:right="0" w:firstLine="0"/>
        <w:rPr>
          <w:b w:val="1"/>
          <w:color w:val="auto"/>
          <w:position w:val="0"/>
          <w:sz w:val="36"/>
          <w:szCs w:val="36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tLeast" w:line="500" w:before="0" w:after="0"/>
        <w:ind w:right="0" w:firstLine="0"/>
        <w:rPr>
          <w:b w:val="1"/>
          <w:color w:val="auto"/>
          <w:position w:val="0"/>
          <w:sz w:val="36"/>
          <w:szCs w:val="36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苏联院学〔2018〕16号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 xml:space="preserve">                   </w:t>
      </w:r>
    </w:p>
    <w:p>
      <w:pPr>
        <w:numPr>
          <w:ilvl w:val="0"/>
          <w:numId w:val="0"/>
        </w:numPr>
        <w:jc w:val="center"/>
        <w:spacing w:lineRule="atLeast" w:line="500" w:before="0" w:after="0"/>
        <w:ind w:right="0" w:firstLine="0"/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t>关于做好2018年度应征入伍服兵役国家资助</w:t>
      </w:r>
      <w:r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t>工作的通知</w:t>
      </w:r>
      <w:r>
        <w:rPr>
          <w:b w:val="1"/>
          <w:color w:val="auto"/>
          <w:position w:val="0"/>
          <w:sz w:val="44"/>
          <w:szCs w:val="44"/>
          <w:rFonts w:ascii="宋体" w:eastAsia="宋体" w:hAnsi="宋体" w:hint="default"/>
        </w:rPr>
        <w:br/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各分院、办学点：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根据省教育厅《《关于报送2018年度高校学生应征入伍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服兵役国家资助相关材料的通知》（苏教助中心〔2018〕45号）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精神，现将我院201</w:t>
      </w:r>
      <w:r>
        <w:rPr>
          <w:color w:val="auto"/>
          <w:position w:val="0"/>
          <w:sz w:val="32"/>
          <w:szCs w:val="32"/>
          <w:rFonts w:ascii="仿宋_GB2312" w:eastAsia="宋体" w:hAnsi="宋体" w:hint="default"/>
        </w:rPr>
        <w:t>8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年度学生应征入伍服兵役国家资助工作</w:t>
      </w:r>
      <w:r>
        <w:rPr>
          <w:color w:val="000000"/>
          <w:position w:val="0"/>
          <w:sz w:val="32"/>
          <w:szCs w:val="32"/>
          <w:rFonts w:ascii="仿宋_GB2312" w:eastAsia="仿宋_GB2312" w:hAnsi="仿宋_GB2312" w:hint="default"/>
        </w:rPr>
        <w:t>有关事项通知如下：</w:t>
      </w:r>
    </w:p>
    <w:p>
      <w:pPr>
        <w:pStyle w:val="PO26"/>
        <w:bidi w:val="0"/>
        <w:numPr>
          <w:ilvl w:val="0"/>
          <w:numId w:val="1"/>
        </w:numPr>
        <w:jc w:val="both"/>
        <w:spacing w:lineRule="auto" w:line="240" w:before="0" w:after="0"/>
        <w:ind w:left="1360" w:right="0" w:hanging="720"/>
        <w:rPr>
          <w:b w:val="1"/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仿宋_GB2312" w:eastAsia="仿宋_GB2312" w:hAnsi="仿宋_GB2312" w:hint="default"/>
        </w:rPr>
        <w:t>资助（补偿/减免）类别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(一)毕业生学费补偿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我院五年一贯制高职2009-201</w:t>
      </w:r>
      <w:r>
        <w:rPr>
          <w:color w:val="auto"/>
          <w:position w:val="0"/>
          <w:sz w:val="32"/>
          <w:szCs w:val="32"/>
          <w:rFonts w:ascii="仿宋_GB2312" w:eastAsia="宋体" w:hAnsi="宋体" w:hint="default"/>
        </w:rPr>
        <w:t>8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年应征入伍的当年应届毕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业生，2013-2018年应征入伍的往年毕业生，均可一次性获得四、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五年级两个学年的学费补偿。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(二)退役复学生学费减免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726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2011-2018年退役复学到我院五年一贯制高职四年级的退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役士兵（补报秋季入伍的，入伍时已是我院四年级学生。夏季入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伍的，入伍时已读完三年级），均可一次性获得四、五年级两个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学年的学费减免。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我院五年一贯制高职一至三年级应征入伍服兵役的学生，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不享受此政策。实行4.5+0.5学制的学生（2013级及以后），无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论是四年级或五年级应征入伍，都按规定退役复学后再申请国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家资助。</w:t>
      </w:r>
    </w:p>
    <w:p>
      <w:pPr>
        <w:pStyle w:val="PO26"/>
        <w:bidi w:val="0"/>
        <w:numPr>
          <w:ilvl w:val="0"/>
          <w:numId w:val="1"/>
        </w:numPr>
        <w:jc w:val="both"/>
        <w:spacing w:lineRule="auto" w:line="240" w:before="0" w:after="0"/>
        <w:ind w:left="1360" w:right="0" w:hanging="651"/>
        <w:rPr>
          <w:b w:val="1"/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仿宋_GB2312" w:eastAsia="仿宋_GB2312" w:hAnsi="仿宋_GB2312" w:hint="default"/>
        </w:rPr>
        <w:t>资助标准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707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自2014年7月1日开始，应征入伍及退役复学学费减免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标准调整为每人每年最高不超过8000元，学费标准低于8000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元的，按实际收费标准申请。补报此前年度入伍及退役复学的学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生，学费减免的标准仍按旧标准执行。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803"/>
        <w:rPr>
          <w:b w:val="1"/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仿宋_GB2312" w:eastAsia="仿宋_GB2312" w:hAnsi="仿宋_GB2312" w:hint="default"/>
        </w:rPr>
        <w:t>三、系统填报要求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80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请各校资助中心对照政策认真审核后，将审核通过的学生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信息于2018年10月15前录入“江苏省资助业务管理系统”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</w:t>
      </w:r>
      <w:hyperlink r:id="rId5">
        <w:r>
          <w:rPr>
            <w:color w:val="auto"/>
            <w:position w:val="0"/>
            <w:sz w:val="32"/>
            <w:szCs w:val="32"/>
            <w:rFonts w:ascii="仿宋_GB2312" w:eastAsia="仿宋_GB2312" w:hAnsi="仿宋_GB2312" w:hint="default"/>
          </w:rPr>
          <w:t>http://58.213.129.204</w:t>
        </w:r>
      </w:hyperlink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.9080）中的“学费补偿”子系统。申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请表中“学制”填写2年，“入学年月”填写五年一贯制高职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四年级的入学时间。</w:t>
      </w:r>
      <w:r>
        <w:rPr>
          <w:color w:val="000000"/>
          <w:position w:val="0"/>
          <w:sz w:val="32"/>
          <w:szCs w:val="32"/>
          <w:rFonts w:ascii="仿宋_GB2312" w:eastAsia="仿宋_GB2312" w:hAnsi="仿宋_GB2312" w:hint="default"/>
        </w:rPr>
        <w:t xml:space="preserve">入伍通知书号,例如 ：(2009)非农0004541、</w:t>
      </w:r>
      <w:r>
        <w:rPr>
          <w:color w:val="000000"/>
          <w:position w:val="0"/>
          <w:sz w:val="32"/>
          <w:szCs w:val="32"/>
          <w:rFonts w:ascii="仿宋_GB2312" w:eastAsia="仿宋_GB2312" w:hAnsi="仿宋_GB2312" w:hint="default"/>
        </w:rPr>
        <w:t>入伍批准书号,例如：(2009）苏字第030975号及退役证书号,例</w:t>
      </w:r>
      <w:r>
        <w:rPr>
          <w:color w:val="000000"/>
          <w:position w:val="0"/>
          <w:sz w:val="32"/>
          <w:szCs w:val="32"/>
          <w:rFonts w:ascii="仿宋_GB2312" w:eastAsia="仿宋_GB2312" w:hAnsi="仿宋_GB2312" w:hint="default"/>
        </w:rPr>
        <w:t>如：装退字第******号等须按要求格式准确填写。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3"/>
        <w:rPr>
          <w:b w:val="1"/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仿宋_GB2312" w:eastAsia="仿宋_GB2312" w:hAnsi="仿宋_GB2312" w:hint="default"/>
        </w:rPr>
        <w:t>四、纸质材料报送要求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（一）请各校于10月15-19日，由负责此项工作的人员将下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列纸质材料送达学院进行现场审核，学院审核通过后的名单提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交教育厅审核，审核不通过的退回。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1.采集表；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2.申请表；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3.学信网登记证明；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4.收费许可证复印件；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5.毕业证书或在校学籍证明；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6.入伍通知书；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7.退役证书；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8.毕业生学费补偿汇总表（与系统一致）；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9.退役复学生学费减免汇总表（与系统一致）。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以上1-2项须申请人签字，5-7项带原件和复印件进行审核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（复印件我院留存一份，各校留存一份），8-9项须经办人签字。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所有材料均须学校盖章，并将电子稿和纸质稿同时上交。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 xml:space="preserve">(二) 请各校在省学生资助管理中心审核通过后一周内，从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系统中打印“应征入伍服兵役高校学生学费补偿受理回执”并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填妥回执内容，寄送给学生本人。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710"/>
        <w:rPr>
          <w:b w:val="1"/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仿宋_GB2312" w:eastAsia="仿宋_GB2312" w:hAnsi="仿宋_GB2312" w:hint="default"/>
        </w:rPr>
        <w:t>五、其他事项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（一）高校学生应征入伍服义务兵役国家资助材料和直招士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官国家资助材料同时报送。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（二）请各校将本学年申请的学生信息与本校09年之后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已经申请并领取学费补偿资金的学生信息先行比对，确认无重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复申请后方可上报，各校对上报信息的真实性和准确性负责。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（三）请各校留存学生申请材料，并做好档案管理工作。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（四）学费补偿资金将于年底前下达各校，请各校在收到资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金后及时下达给学生，不得截留和挪作他用。各校账号如有变更，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请及时告知学院。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（五）请到“联院奖助贷管理群”共享下载《关于报送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2018年度高校学生应征入伍服兵役国家资助相关材料的通知》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（苏教助中心〔2018〕45号）。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 xml:space="preserve">（六）学院联系人：田开元 。电话：025--83335148。电子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信箱：103454483</w:t>
      </w:r>
      <w:hyperlink r:id="rId6">
        <w:r>
          <w:rPr>
            <w:rStyle w:val="PO156"/>
            <w:color w:val="000000"/>
            <w:position w:val="0"/>
            <w:sz w:val="32"/>
            <w:szCs w:val="32"/>
            <w:u w:val="none"/>
            <w:rFonts w:ascii="仿宋_GB2312" w:eastAsia="仿宋_GB2312" w:hAnsi="仿宋_GB2312" w:hint="default"/>
          </w:rPr>
          <w:t>@qq.com，联院院奖助贷管理群号：</w:t>
        </w:r>
        <w:r>
          <w:rPr>
            <w:rStyle w:val="PO156"/>
            <w:color w:val="000000"/>
            <w:position w:val="0"/>
            <w:sz w:val="32"/>
            <w:szCs w:val="32"/>
            <w:u w:val="none"/>
            <w:rFonts w:ascii="仿宋_GB2312" w:eastAsia="仿宋_GB2312" w:hAnsi="仿宋_GB2312" w:hint="default"/>
          </w:rPr>
          <w:t>2</w:t>
        </w:r>
        <w:r>
          <w:rPr>
            <w:rStyle w:val="PO156"/>
            <w:color w:val="000000"/>
            <w:position w:val="0"/>
            <w:sz w:val="32"/>
            <w:szCs w:val="32"/>
            <w:u w:val="none"/>
            <w:rFonts w:ascii="仿宋_GB2312" w:eastAsia="仿宋_GB2312" w:hAnsi="仿宋_GB2312" w:hint="default"/>
          </w:rPr>
          <w:t>62121787</w:t>
        </w:r>
      </w:hyperlink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。</w:t>
      </w:r>
    </w:p>
    <w:p>
      <w:pPr>
        <w:numPr>
          <w:ilvl w:val="0"/>
          <w:numId w:val="0"/>
        </w:numPr>
        <w:jc w:val="both"/>
        <w:spacing w:lineRule="atLeast" w:line="500" w:before="0" w:after="0"/>
        <w:ind w:left="1436"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 xml:space="preserve">                  </w:t>
      </w:r>
    </w:p>
    <w:p>
      <w:pPr>
        <w:numPr>
          <w:ilvl w:val="0"/>
          <w:numId w:val="0"/>
        </w:numPr>
        <w:jc w:val="both"/>
        <w:spacing w:lineRule="atLeast" w:line="500" w:before="0" w:after="0"/>
        <w:ind w:left="1436"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left="1436"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left="1436"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left="1436" w:right="0" w:firstLine="64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left="1436" w:right="0" w:firstLine="640"/>
        <w:rPr>
          <w:color w:val="auto"/>
          <w:position w:val="0"/>
          <w:sz w:val="32"/>
          <w:szCs w:val="32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仿宋_GB2312" w:hAnsi="仿宋_GB2312" w:hint="default"/>
        </w:rPr>
        <w:t xml:space="preserve">                 江苏联合职业技术学院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201</w:t>
      </w:r>
      <w:r>
        <w:rPr>
          <w:color w:val="auto"/>
          <w:position w:val="0"/>
          <w:sz w:val="32"/>
          <w:szCs w:val="32"/>
          <w:rFonts w:ascii="仿宋_GB2312" w:eastAsia="宋体" w:hAnsi="宋体" w:hint="default"/>
        </w:rPr>
        <w:t>8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年9月</w:t>
      </w:r>
      <w:r>
        <w:rPr>
          <w:color w:val="auto"/>
          <w:position w:val="0"/>
          <w:sz w:val="32"/>
          <w:szCs w:val="32"/>
          <w:rFonts w:ascii="仿宋_GB2312" w:eastAsia="宋体" w:hAnsi="宋体" w:hint="default"/>
        </w:rPr>
        <w:t>20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日</w:t>
      </w: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5280"/>
        <w:rPr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ind w:right="0" w:firstLine="4960"/>
        <w:rPr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tLeast" w:line="500" w:before="0" w:after="0"/>
        <w:pBdr>
          <w:top w:val="single" w:sz="4" w:space="0" w:color="000000"/>
          <w:bottom w:val="single" w:sz="4" w:space="0" w:color="000000"/>
        </w:pBdr>
        <w:ind w:right="0" w:firstLine="0"/>
        <w:rPr>
          <w:color w:val="auto"/>
          <w:position w:val="0"/>
          <w:sz w:val="32"/>
          <w:szCs w:val="32"/>
          <w:rFonts w:ascii="仿宋_GB2312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 xml:space="preserve">江苏联合职业技术学院综合处     201</w:t>
      </w:r>
      <w:r>
        <w:rPr>
          <w:color w:val="auto"/>
          <w:position w:val="0"/>
          <w:sz w:val="32"/>
          <w:szCs w:val="32"/>
          <w:rFonts w:ascii="仿宋_GB2312" w:eastAsia="宋体" w:hAnsi="宋体" w:hint="default"/>
        </w:rPr>
        <w:t>8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年9月</w:t>
      </w:r>
      <w:r>
        <w:rPr>
          <w:color w:val="auto"/>
          <w:position w:val="0"/>
          <w:sz w:val="32"/>
          <w:szCs w:val="32"/>
          <w:rFonts w:ascii="仿宋_GB2312" w:eastAsia="宋体" w:hAnsi="宋体" w:hint="default"/>
        </w:rPr>
        <w:t>20</w:t>
      </w:r>
      <w:r>
        <w:rPr>
          <w:color w:val="auto"/>
          <w:position w:val="0"/>
          <w:sz w:val="32"/>
          <w:szCs w:val="32"/>
          <w:rFonts w:ascii="仿宋_GB2312" w:eastAsia="仿宋_GB2312" w:hAnsi="仿宋_GB2312" w:hint="default"/>
        </w:rPr>
        <w:t>日印发</w:t>
      </w:r>
    </w:p>
    <w:sectPr>
      <w:footerReference w:type="default" r:id="rId7"/>
      <w:pgSz w:w="11906" w:h="16838"/>
      <w:pgMar w:top="2098" w:left="1588" w:bottom="2098" w:right="1588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4"/>
      <w:numPr>
        <w:ilvl w:val="0"/>
        <w:numId w:val="0"/>
      </w:numPr>
      <w:jc w:val="right"/>
      <w:spacing w:lineRule="atLeast" w:line="240" w:before="0" w:after="0"/>
      <w:ind w:right="0" w:firstLine="0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rPr>
        <w:color w:val="auto"/>
        <w:position w:val="0"/>
        <w:sz w:val="18"/>
        <w:szCs w:val="18"/>
        <w:rFonts w:ascii="Calibri" w:eastAsia="宋体" w:hAnsi="宋体" w:hint="default"/>
      </w:rPr>
      <w:snapToGrid w:val="off"/>
      <w:autoSpaceDE w:val="1"/>
      <w:autoSpaceDN w:val="1"/>
    </w:pPr>
    <w:r>
      <w:rPr>
        <w:color w:val="auto"/>
        <w:position w:val="0"/>
        <w:sz w:val="18"/>
        <w:szCs w:val="18"/>
        <w:rFonts w:ascii="Calibri" w:eastAsia="宋体" w:hAnsi="宋体" w:hint="default"/>
      </w:rPr>
      <w:t>—</w:t>
    </w:r>
    <w:r>
      <w:rPr>
        <w:color w:val="auto"/>
        <w:position w:val="0"/>
        <w:sz w:val="18"/>
        <w:szCs w:val="18"/>
        <w:rFonts w:ascii="Calibri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color w:val="auto"/>
        <w:position w:val="0"/>
        <w:sz w:val="18"/>
        <w:szCs w:val="18"/>
        <w:rFonts w:ascii="Calibri" w:eastAsia="宋体" w:hAnsi="宋体" w:hint="default"/>
      </w:rPr>
      <w:t>5</w:t>
    </w:r>
    <w:r>
      <w:rPr>
        <w:color w:val="auto"/>
        <w:position w:val="0"/>
        <w:sz w:val="18"/>
        <w:szCs w:val="18"/>
        <w:rFonts w:ascii="Calibri" w:eastAsia="宋体" w:hAnsi="宋体" w:hint="default"/>
      </w:rPr>
      <w:fldChar w:fldCharType="end"/>
    </w:r>
    <w:r>
      <w:rPr>
        <w:color w:val="auto"/>
        <w:position w:val="0"/>
        <w:sz w:val="18"/>
        <w:szCs w:val="18"/>
        <w:rFonts w:ascii="Calibri" w:eastAsia="宋体" w:hAnsi="宋体" w:hint="default"/>
      </w:rPr>
      <w:t>—</w:t>
    </w:r>
  </w:p>
  <w:p>
    <w:pPr>
      <w:pStyle w:val="PO154"/>
      <w:numPr>
        <w:ilvl w:val="0"/>
        <w:numId w:val="0"/>
      </w:numPr>
      <w:jc w:val="left"/>
      <w:spacing w:lineRule="atLeast" w:line="240" w:before="0" w:after="0"/>
      <w:ind w:right="0" w:firstLine="0"/>
      <w:tabs>
        <w:tab w:val="center" w:pos="4153"/>
        <w:tab w:val="center" w:pos="4153"/>
        <w:tab w:val="center" w:pos="4153"/>
        <w:tab w:val="right" w:pos="8306"/>
        <w:tab w:val="right" w:pos="8306"/>
        <w:tab w:val="right" w:pos="8306"/>
      </w:tabs>
      <w:rPr>
        <w:color w:val="auto"/>
        <w:position w:val="0"/>
        <w:sz w:val="18"/>
        <w:szCs w:val="18"/>
        <w:rFonts w:ascii="Calibri" w:eastAsia="宋体" w:hAnsi="宋体" w:hint="default"/>
      </w:rPr>
      <w:snapToGrid w:val="off"/>
      <w:autoSpaceDE w:val="1"/>
      <w:autoSpaceDN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1000" w:hanging="360"/>
        <w:jc w:val="both"/>
      </w:pPr>
      <w:rPr>
        <w:shd w:val="clear"/>
        <w:sz w:val="20"/>
        <w:szCs w:val="20"/>
        <w:w w:val="100"/>
      </w:rPr>
      <w:lvlText w:val="%1."/>
    </w:lvl>
    <w:lvl w:ilvl="1">
      <w:lvlJc w:val="left"/>
      <w:numFmt w:val="lowerLetter"/>
      <w:start w:val="1"/>
      <w:suff w:val="tab"/>
      <w:pPr>
        <w:ind w:left="1480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900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2320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740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3160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3580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4000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4420" w:hanging="420"/>
        <w:jc w:val="both"/>
      </w:p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1211" w:hanging="360"/>
        <w:jc w:val="both"/>
      </w:pPr>
      <w:rPr>
        <w:rFonts w:ascii="宋体" w:eastAsia="宋体" w:hAnsi="宋体"/>
        <w:shd w:val="clear"/>
        <w:sz w:val="20"/>
        <w:szCs w:val="20"/>
        <w:w w:val="100"/>
      </w:rPr>
      <w:lvlText w:val="%1."/>
    </w:lvl>
    <w:lvl w:ilvl="1">
      <w:lvlJc w:val="left"/>
      <w:numFmt w:val="lowerLetter"/>
      <w:start w:val="1"/>
      <w:suff w:val="tab"/>
      <w:pPr>
        <w:ind w:left="1691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2111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2531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951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3371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3791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4211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4631" w:hanging="420"/>
        <w:jc w:val="both"/>
      </w:pPr>
      <w:lvlText w:val="%9."/>
    </w:lvl>
  </w:abstractNum>
  <w:abstractNum w:abstractNumId="2">
    <w:multiLevelType w:val="hybridMultilevel"/>
    <w:nsid w:val="2F000002"/>
    <w:tmpl w:val="1F000C5F"/>
    <w:lvl w:ilvl="0">
      <w:lvlJc w:val="left"/>
      <w:numFmt w:val="japaneseCounting"/>
      <w:start w:val="1"/>
      <w:suff w:val="tab"/>
      <w:pPr>
        <w:ind w:left="1360" w:hanging="720"/>
        <w:jc w:val="both"/>
      </w:pPr>
      <w:rPr>
        <w:shd w:val="clear"/>
        <w:sz w:val="20"/>
        <w:szCs w:val="20"/>
        <w:w w:val="100"/>
      </w:rPr>
      <w:lvlText w:val="%1、"/>
    </w:lvl>
    <w:lvl w:ilvl="1">
      <w:lvlJc w:val="left"/>
      <w:numFmt w:val="lowerLetter"/>
      <w:start w:val="1"/>
      <w:suff w:val="tab"/>
      <w:pPr>
        <w:ind w:left="1480" w:hanging="420"/>
        <w:jc w:val="both"/>
      </w:pPr>
      <w:lvlText w:val="%2)"/>
    </w:lvl>
    <w:lvl w:ilvl="2">
      <w:lvlJc w:val="right"/>
      <w:numFmt w:val="lowerRoman"/>
      <w:start w:val="1"/>
      <w:suff w:val="tab"/>
      <w:pPr>
        <w:ind w:left="1900" w:hanging="420"/>
        <w:jc w:val="both"/>
      </w:pPr>
      <w:lvlText w:val="%3."/>
    </w:lvl>
    <w:lvl w:ilvl="3">
      <w:lvlJc w:val="left"/>
      <w:numFmt w:val="decimal"/>
      <w:start w:val="1"/>
      <w:suff w:val="tab"/>
      <w:pPr>
        <w:ind w:left="2320" w:hanging="420"/>
        <w:jc w:val="both"/>
      </w:pPr>
      <w:lvlText w:val="%4."/>
    </w:lvl>
    <w:lvl w:ilvl="4">
      <w:lvlJc w:val="left"/>
      <w:numFmt w:val="lowerLetter"/>
      <w:start w:val="1"/>
      <w:suff w:val="tab"/>
      <w:pPr>
        <w:ind w:left="2740" w:hanging="420"/>
        <w:jc w:val="both"/>
      </w:pPr>
      <w:lvlText w:val="%5)"/>
    </w:lvl>
    <w:lvl w:ilvl="5">
      <w:lvlJc w:val="right"/>
      <w:numFmt w:val="lowerRoman"/>
      <w:start w:val="1"/>
      <w:suff w:val="tab"/>
      <w:pPr>
        <w:ind w:left="3160" w:hanging="420"/>
        <w:jc w:val="both"/>
      </w:pPr>
      <w:lvlText w:val="%6."/>
    </w:lvl>
    <w:lvl w:ilvl="6">
      <w:lvlJc w:val="left"/>
      <w:numFmt w:val="decimal"/>
      <w:start w:val="1"/>
      <w:suff w:val="tab"/>
      <w:pPr>
        <w:ind w:left="3580" w:hanging="420"/>
        <w:jc w:val="both"/>
      </w:pPr>
      <w:lvlText w:val="%7."/>
    </w:lvl>
    <w:lvl w:ilvl="7">
      <w:lvlJc w:val="left"/>
      <w:numFmt w:val="lowerLetter"/>
      <w:start w:val="1"/>
      <w:suff w:val="tab"/>
      <w:pPr>
        <w:ind w:left="4000" w:hanging="420"/>
        <w:jc w:val="both"/>
      </w:pPr>
      <w:lvlText w:val="%8)"/>
    </w:lvl>
    <w:lvl w:ilvl="8">
      <w:lvlJc w:val="right"/>
      <w:numFmt w:val="lowerRoman"/>
      <w:start w:val="1"/>
      <w:suff w:val="tab"/>
      <w:pPr>
        <w:ind w:left="4420" w:hanging="420"/>
        <w:jc w:val="both"/>
      </w:pPr>
      <w:lvlText w:val="%9.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firstLine="420"/>
      <w:widowControl/>
      <w:wordWrap/>
    </w:p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shd w:val="clear"/>
      <w:sz w:val="18"/>
      <w:szCs w:val="18"/>
      <w:w w:val="100"/>
    </w:rPr>
  </w:style>
  <w:style w:styleId="PO156" w:type="character">
    <w:name w:val="Hyperlink"/>
    <w:basedOn w:val="PO2"/>
    <w:uiPriority w:val="156"/>
    <w:rPr>
      <w:color w:val="000000"/>
      <w:shd w:val="clear"/>
      <w:sz w:val="20"/>
      <w:szCs w:val="20"/>
      <w:u w:val="none"/>
      <w:w w:val="100"/>
    </w:rPr>
  </w:style>
  <w:style w:styleId="PO157" w:type="paragraph">
    <w:name w:val="Balloon Text"/>
    <w:basedOn w:val="PO1"/>
    <w:link w:val="PO158"/>
    <w:uiPriority w:val="157"/>
    <w:semiHidden/>
    <w:unhideWhenUsed/>
    <w:pPr>
      <w:autoSpaceDE w:val="1"/>
      <w:autoSpaceDN w:val="1"/>
      <w:widowControl/>
      <w:wordWrap/>
    </w:pPr>
    <w:rPr>
      <w:shd w:val="clear"/>
      <w:sz w:val="18"/>
      <w:szCs w:val="18"/>
      <w:w w:val="100"/>
    </w:rPr>
  </w:style>
  <w:style w:customStyle="1" w:styleId="PO158" w:type="character">
    <w:name w:val="批注框文本 Char"/>
    <w:basedOn w:val="PO2"/>
    <w:link w:val="PO157"/>
    <w:uiPriority w:val="158"/>
    <w:semiHidden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58.213.129.204" TargetMode="External"></Relationship><Relationship Id="rId6" Type="http://schemas.openxmlformats.org/officeDocument/2006/relationships/hyperlink" Target="mailto:RUOLINGGUO@163.COM&#12290;&#32852;&#38498;&#22870;&#21161;&#36151;&#31649;&#29702;&#32676;&#21495;&#65306;262121787" TargetMode="External"></Relationship><Relationship Id="rId7" Type="http://schemas.openxmlformats.org/officeDocument/2006/relationships/footer" Target="footer2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微软系统</Company>
  <DocSecurity>0</DocSecurity>
  <HyperlinksChanged>false</HyperlinksChanged>
  <Lines>12</Lines>
  <LinksUpToDate>false</LinksUpToDate>
  <Pages>5</Pages>
  <Paragraphs>3</Paragraphs>
  <Words>257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rl</dc:creator>
  <cp:lastModifiedBy/>
  <dcterms:modified xsi:type="dcterms:W3CDTF">2017-09-30T01:33:00Z</dcterms:modified>
</cp:coreProperties>
</file>